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567" w:rsidRDefault="00C47567" w:rsidP="00C47567">
      <w:pPr>
        <w:pStyle w:val="Citazioneintensa"/>
        <w:rPr>
          <w:b/>
          <w:sz w:val="24"/>
          <w:szCs w:val="24"/>
        </w:rPr>
      </w:pPr>
      <w:bookmarkStart w:id="0" w:name="_GoBack"/>
      <w:bookmarkEnd w:id="0"/>
      <w:r w:rsidRPr="00C47567">
        <w:rPr>
          <w:b/>
          <w:sz w:val="24"/>
          <w:szCs w:val="24"/>
        </w:rPr>
        <w:t>VADEMECUM ACCORCO COLLETTIVO PER LA REGOLAMENTAZIONE DELLE COLLABORAZIONI COORDINATE E CONTINUATIVE DELLE OSC</w:t>
      </w:r>
    </w:p>
    <w:p w:rsidR="00C47567" w:rsidRDefault="00C47567" w:rsidP="00C47567">
      <w:pPr>
        <w:rPr>
          <w:b/>
          <w:u w:val="single"/>
        </w:rPr>
      </w:pPr>
      <w:r w:rsidRPr="00C47567">
        <w:rPr>
          <w:b/>
          <w:u w:val="single"/>
        </w:rPr>
        <w:t>CONTENUTI DELL’ACCORDO E NOVITÀ RISPETTO ALL’ACCORDO DEL 2013</w:t>
      </w:r>
    </w:p>
    <w:p w:rsidR="0075277B" w:rsidRDefault="00C47567" w:rsidP="00C47567">
      <w:pPr>
        <w:pStyle w:val="Paragrafoelenco"/>
        <w:numPr>
          <w:ilvl w:val="0"/>
          <w:numId w:val="1"/>
        </w:numPr>
        <w:rPr>
          <w:b/>
        </w:rPr>
      </w:pPr>
      <w:r w:rsidRPr="00C47567">
        <w:rPr>
          <w:b/>
        </w:rPr>
        <w:t xml:space="preserve">Ambito di applicazione </w:t>
      </w:r>
      <w:r>
        <w:rPr>
          <w:b/>
        </w:rPr>
        <w:t>s</w:t>
      </w:r>
      <w:r w:rsidRPr="00C47567">
        <w:rPr>
          <w:b/>
        </w:rPr>
        <w:t>oggettivo</w:t>
      </w:r>
    </w:p>
    <w:p w:rsidR="00C47567" w:rsidRDefault="00C47567" w:rsidP="00C47567">
      <w:pPr>
        <w:pBdr>
          <w:top w:val="single" w:sz="4" w:space="1" w:color="auto"/>
        </w:pBdr>
        <w:jc w:val="both"/>
      </w:pPr>
      <w:r>
        <w:t xml:space="preserve">L’ Accordo </w:t>
      </w:r>
      <w:r w:rsidRPr="00C47567">
        <w:rPr>
          <w:b/>
        </w:rPr>
        <w:t>si applica a tutte le OSC aderenti ai soggetti firmatari AOI e Link 2007</w:t>
      </w:r>
      <w:r>
        <w:t xml:space="preserve">. </w:t>
      </w:r>
    </w:p>
    <w:p w:rsidR="00C47567" w:rsidRDefault="00C47567" w:rsidP="00C47567">
      <w:pPr>
        <w:jc w:val="both"/>
      </w:pPr>
      <w:r>
        <w:t>L’</w:t>
      </w:r>
      <w:r w:rsidRPr="00C47567">
        <w:rPr>
          <w:b/>
        </w:rPr>
        <w:t xml:space="preserve">adesione di altre OSC di cui all’art. 26, co. 2, lett. a e </w:t>
      </w:r>
      <w:r w:rsidRPr="00C47567">
        <w:t>b, della Legge n. 125/2014</w:t>
      </w:r>
      <w:r>
        <w:t xml:space="preserve"> sarà possibile previa comunicazione formale alla Commissione Paritetica. </w:t>
      </w:r>
    </w:p>
    <w:p w:rsidR="00C47567" w:rsidRDefault="00C47567" w:rsidP="00C47567">
      <w:pPr>
        <w:jc w:val="both"/>
      </w:pPr>
      <w:r>
        <w:t xml:space="preserve">Gli </w:t>
      </w:r>
      <w:r w:rsidRPr="00C47567">
        <w:rPr>
          <w:b/>
        </w:rPr>
        <w:t>ulteriori organismi iscritti nell'apposito albo previsto dal comma 3 dell'art. 26 della L. n. 125/2014</w:t>
      </w:r>
      <w:r>
        <w:t>, la cui finalità statutaria, nonché l'attività prevalente, è la cooperazione internazionale allo sviluppo, potranno applicare l’accordo previa verifica e conseguente parere favorevole espresso dalla Commissione Paritetica.</w:t>
      </w:r>
    </w:p>
    <w:p w:rsidR="00C47567" w:rsidRDefault="00C47567" w:rsidP="00C47567">
      <w:pPr>
        <w:jc w:val="both"/>
      </w:pPr>
      <w:r>
        <w:t>INDIRIZZO MAIL DELLA COMMISSIONE PARITETICA</w:t>
      </w:r>
      <w:r w:rsidR="002B523B">
        <w:t xml:space="preserve"> a cui inviare la comunicazione</w:t>
      </w:r>
      <w:r>
        <w:t>: pariteticaosc@gmail.com</w:t>
      </w:r>
    </w:p>
    <w:p w:rsidR="00C47567" w:rsidRDefault="00C47567" w:rsidP="00C47567">
      <w:pPr>
        <w:pBdr>
          <w:bottom w:val="single" w:sz="4" w:space="1" w:color="auto"/>
        </w:pBdr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29210</wp:posOffset>
                </wp:positionV>
                <wp:extent cx="205740" cy="137160"/>
                <wp:effectExtent l="0" t="19050" r="41910" b="34290"/>
                <wp:wrapNone/>
                <wp:docPr id="1" name="Freccia a destr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13716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7A771F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reccia a destra 1" o:spid="_x0000_s1026" type="#_x0000_t13" style="position:absolute;margin-left:229.5pt;margin-top:2.3pt;width:16.2pt;height:1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" adj="14400" fillcolor="#4f81bd [3204]" strokecolor="#243f60 [1604]" strokeweight="2pt"/>
            </w:pict>
          </mc:Fallback>
        </mc:AlternateContent>
      </w:r>
      <w:r>
        <w:t>L’Accordo deve essere applicato nella sua integrità         applicazione parziale equivale a NON APPLICAZIONE</w:t>
      </w:r>
    </w:p>
    <w:p w:rsidR="00E64B77" w:rsidRDefault="00E64B77" w:rsidP="00E64B77">
      <w:pPr>
        <w:pStyle w:val="Paragrafoelenco"/>
        <w:rPr>
          <w:b/>
        </w:rPr>
      </w:pPr>
    </w:p>
    <w:p w:rsidR="00C47567" w:rsidRDefault="00C47567" w:rsidP="00C47567">
      <w:pPr>
        <w:pStyle w:val="Paragrafoelenco"/>
        <w:numPr>
          <w:ilvl w:val="0"/>
          <w:numId w:val="1"/>
        </w:numPr>
        <w:rPr>
          <w:b/>
        </w:rPr>
      </w:pPr>
      <w:r w:rsidRPr="00C47567">
        <w:rPr>
          <w:b/>
        </w:rPr>
        <w:t>Ambito di applicazione oggettivo</w:t>
      </w:r>
    </w:p>
    <w:p w:rsidR="00195AC4" w:rsidRDefault="00195AC4" w:rsidP="00E64B77">
      <w:pPr>
        <w:pBdr>
          <w:top w:val="single" w:sz="4" w:space="1" w:color="auto"/>
        </w:pBdr>
      </w:pPr>
      <w:r w:rsidRPr="00195AC4">
        <w:t xml:space="preserve">L’Accordo si applica ad ogni forma di lavoro </w:t>
      </w:r>
      <w:r w:rsidRPr="00E64B77">
        <w:rPr>
          <w:u w:val="single"/>
        </w:rPr>
        <w:t>non subordinato</w:t>
      </w:r>
      <w:r w:rsidR="00E64B77">
        <w:t xml:space="preserve"> </w:t>
      </w:r>
      <w:r w:rsidR="00E64B77" w:rsidRPr="00E64B77">
        <w:t>riconducibile ad un rapporto di collaborazione coordinata e continuativa</w:t>
      </w:r>
      <w:r w:rsidRPr="00195AC4">
        <w:t>, che si svolga in Italia o all’estero</w:t>
      </w:r>
      <w:r>
        <w:t xml:space="preserve">. </w:t>
      </w:r>
    </w:p>
    <w:p w:rsidR="00E64B77" w:rsidRDefault="00E64B77" w:rsidP="00E64B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bookmarkStart w:id="1" w:name="_Hlk513796657"/>
      <w:r w:rsidRPr="00E64B77">
        <w:rPr>
          <w:b/>
        </w:rPr>
        <w:t>Novità: l’Accordo è specificamente applicabile anche alle co.co.co. in Italia</w:t>
      </w:r>
    </w:p>
    <w:bookmarkEnd w:id="1"/>
    <w:p w:rsidR="00E64B77" w:rsidRDefault="00E64B77" w:rsidP="00E64B77"/>
    <w:p w:rsidR="00E64B77" w:rsidRDefault="00E64B77" w:rsidP="00E64B77">
      <w:pPr>
        <w:pStyle w:val="Paragrafoelenco"/>
        <w:numPr>
          <w:ilvl w:val="0"/>
          <w:numId w:val="1"/>
        </w:numPr>
        <w:rPr>
          <w:b/>
        </w:rPr>
      </w:pPr>
      <w:r w:rsidRPr="00E64B77">
        <w:rPr>
          <w:b/>
        </w:rPr>
        <w:t>Profili professionali</w:t>
      </w:r>
    </w:p>
    <w:p w:rsidR="00E64B77" w:rsidRDefault="00E64B77" w:rsidP="00915A3B">
      <w:pPr>
        <w:pBdr>
          <w:top w:val="single" w:sz="4" w:space="1" w:color="auto"/>
        </w:pBdr>
        <w:jc w:val="both"/>
        <w:rPr>
          <w:u w:val="single"/>
        </w:rPr>
      </w:pPr>
      <w:r>
        <w:t xml:space="preserve">I profili professionali vengono definiti sulla base delle competenze e dell’esperienza </w:t>
      </w:r>
      <w:r w:rsidRPr="00915A3B">
        <w:rPr>
          <w:u w:val="single"/>
        </w:rPr>
        <w:t>richieste per lo svolgimento dell’attività di collaborazione</w:t>
      </w:r>
      <w:r w:rsidR="00915A3B">
        <w:rPr>
          <w:u w:val="single"/>
        </w:rPr>
        <w:t>:</w:t>
      </w:r>
    </w:p>
    <w:p w:rsidR="00915A3B" w:rsidRPr="00915A3B" w:rsidRDefault="00915A3B" w:rsidP="00915A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b/>
          <w:sz w:val="20"/>
          <w:szCs w:val="20"/>
        </w:rPr>
      </w:pPr>
      <w:r w:rsidRPr="00915A3B">
        <w:rPr>
          <w:b/>
          <w:sz w:val="20"/>
          <w:szCs w:val="20"/>
        </w:rPr>
        <w:t xml:space="preserve">Profilo professionale A: </w:t>
      </w:r>
      <w:r w:rsidRPr="00915A3B">
        <w:rPr>
          <w:bCs/>
          <w:iCs/>
          <w:sz w:val="20"/>
          <w:szCs w:val="20"/>
        </w:rPr>
        <w:t>Attività che richiedono al Collaboratore il possesso di un elevato grado di esperienza e/o di competenze settoriali, notevoli conoscenze linguistiche, capacità di monitorare e coordinare progetti o parti di progetto, le cui attività sono svolte in autonomia, fermo restando il coordinamento con il Committente.</w:t>
      </w:r>
    </w:p>
    <w:p w:rsidR="00915A3B" w:rsidRPr="00915A3B" w:rsidRDefault="00915A3B" w:rsidP="00915A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b/>
          <w:sz w:val="20"/>
          <w:szCs w:val="20"/>
        </w:rPr>
      </w:pPr>
      <w:r w:rsidRPr="00915A3B">
        <w:rPr>
          <w:b/>
          <w:sz w:val="20"/>
          <w:szCs w:val="20"/>
        </w:rPr>
        <w:t xml:space="preserve">Profilo professionale B: </w:t>
      </w:r>
      <w:r w:rsidRPr="00915A3B">
        <w:rPr>
          <w:bCs/>
          <w:iCs/>
          <w:sz w:val="20"/>
          <w:szCs w:val="20"/>
        </w:rPr>
        <w:t>Attività che richiedono al Collaboratore il possesso di un grado medio di esperienza e/o di competenze settoriali, ottime conoscenze linguistiche, competenze di rendicontazione, le cui attività sono svolte in autonomia, fermo restando il coordinamento con il Committente.</w:t>
      </w:r>
    </w:p>
    <w:p w:rsidR="00915A3B" w:rsidRPr="00915A3B" w:rsidRDefault="00915A3B" w:rsidP="00915A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b/>
          <w:sz w:val="20"/>
          <w:szCs w:val="20"/>
        </w:rPr>
      </w:pPr>
      <w:r w:rsidRPr="00915A3B">
        <w:rPr>
          <w:b/>
          <w:sz w:val="20"/>
          <w:szCs w:val="20"/>
        </w:rPr>
        <w:t xml:space="preserve">Profilo professionale C: </w:t>
      </w:r>
      <w:r w:rsidRPr="00915A3B">
        <w:rPr>
          <w:bCs/>
          <w:iCs/>
          <w:sz w:val="20"/>
          <w:szCs w:val="20"/>
        </w:rPr>
        <w:t>Attività che richiedono al Collaboratore il possesso di un grado minimo di esperienza e/o di competenze settoriali, buone conoscenze linguistiche, competenze di rendicontazione, le cui attività sono svolte in autonomia, fermo restando il coordinamento con il Committente.</w:t>
      </w:r>
    </w:p>
    <w:p w:rsidR="00915A3B" w:rsidRPr="00915A3B" w:rsidRDefault="00915A3B" w:rsidP="00672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jc w:val="both"/>
        <w:rPr>
          <w:bCs/>
          <w:iCs/>
          <w:sz w:val="20"/>
          <w:szCs w:val="20"/>
        </w:rPr>
      </w:pPr>
      <w:r w:rsidRPr="00915A3B">
        <w:rPr>
          <w:b/>
          <w:sz w:val="20"/>
          <w:szCs w:val="20"/>
        </w:rPr>
        <w:lastRenderedPageBreak/>
        <w:t xml:space="preserve">Profilo professionale D: </w:t>
      </w:r>
      <w:r w:rsidRPr="00915A3B">
        <w:rPr>
          <w:bCs/>
          <w:iCs/>
          <w:sz w:val="20"/>
          <w:szCs w:val="20"/>
        </w:rPr>
        <w:t>Attività riconducibili al Collaboratore privo di specifica esperienza inerente l’oggetto del rapporto di collaborazione, le cui attività sono svolte in autonomia, fermo restando il coordinamento con il Committente.</w:t>
      </w:r>
    </w:p>
    <w:p w:rsidR="00CC1199" w:rsidRDefault="00CC1199" w:rsidP="00672BAA">
      <w:pPr>
        <w:spacing w:after="0"/>
        <w:jc w:val="both"/>
        <w:rPr>
          <w:b/>
        </w:rPr>
      </w:pPr>
    </w:p>
    <w:p w:rsidR="00CC1199" w:rsidRPr="00CC1199" w:rsidRDefault="00CC1199" w:rsidP="00CC1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CC1199">
        <w:rPr>
          <w:b/>
        </w:rPr>
        <w:t xml:space="preserve">Novità: </w:t>
      </w:r>
      <w:r>
        <w:rPr>
          <w:b/>
        </w:rPr>
        <w:t>i moduli funzionali vengono sostituiti dai Profili Professionali, ridefiniti sulla base dell’esperienza e competenze richieste per l’attività di collaborazione</w:t>
      </w:r>
      <w:r w:rsidR="009D2F6F">
        <w:rPr>
          <w:b/>
        </w:rPr>
        <w:t xml:space="preserve"> (e non più in base alla tipologia di progetto)</w:t>
      </w:r>
      <w:r>
        <w:rPr>
          <w:b/>
        </w:rPr>
        <w:t>. Un ulteriore dettaglio è contenuto nell’Allegato A all’Accordo, che esemplifica alcune attività riconducibili a ciascun Profilo Professionale</w:t>
      </w:r>
      <w:r w:rsidR="00544C28">
        <w:rPr>
          <w:b/>
        </w:rPr>
        <w:t>.</w:t>
      </w:r>
    </w:p>
    <w:p w:rsidR="00915A3B" w:rsidRDefault="00915A3B" w:rsidP="00E64B77">
      <w:pPr>
        <w:jc w:val="both"/>
        <w:rPr>
          <w:u w:val="single"/>
        </w:rPr>
      </w:pPr>
    </w:p>
    <w:p w:rsidR="002F6AD8" w:rsidRDefault="002F6AD8" w:rsidP="002F6AD8">
      <w:pPr>
        <w:pStyle w:val="Paragrafoelenco"/>
        <w:numPr>
          <w:ilvl w:val="0"/>
          <w:numId w:val="1"/>
        </w:numPr>
        <w:jc w:val="both"/>
        <w:rPr>
          <w:b/>
        </w:rPr>
      </w:pPr>
      <w:r w:rsidRPr="002F6AD8">
        <w:rPr>
          <w:b/>
        </w:rPr>
        <w:t>Compensi minimi</w:t>
      </w:r>
    </w:p>
    <w:p w:rsidR="00954A0A" w:rsidRPr="00954A0A" w:rsidRDefault="00954A0A" w:rsidP="00CE4CE5">
      <w:pPr>
        <w:pBdr>
          <w:top w:val="single" w:sz="4" w:space="1" w:color="auto"/>
        </w:pBdr>
        <w:jc w:val="both"/>
      </w:pPr>
      <w:r w:rsidRPr="00954A0A">
        <w:t xml:space="preserve">I compensi minimi applicabili a ciascun profilo professionale </w:t>
      </w:r>
      <w:r>
        <w:t>(</w:t>
      </w:r>
      <w:r w:rsidRPr="00954A0A">
        <w:rPr>
          <w:u w:val="single"/>
        </w:rPr>
        <w:t>riproporzionabili sulla base dell’effettivo impegno orario previsto per la collaborazione</w:t>
      </w:r>
      <w:r>
        <w:t>) vengono determinati nel modo che segue</w:t>
      </w:r>
      <w:r w:rsidR="00BE7319" w:rsidRPr="00BE7319">
        <w:t xml:space="preserve"> </w:t>
      </w:r>
      <w:r w:rsidR="00BE7319">
        <w:t>(il CCNL di riferimento è quello applicato ai lavoratori dipendenti)</w:t>
      </w:r>
      <w:r>
        <w:t>:</w:t>
      </w:r>
    </w:p>
    <w:tbl>
      <w:tblPr>
        <w:tblW w:w="68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56"/>
        <w:gridCol w:w="1337"/>
        <w:gridCol w:w="1417"/>
        <w:gridCol w:w="1418"/>
        <w:gridCol w:w="1275"/>
      </w:tblGrid>
      <w:tr w:rsidR="002F6AD8" w:rsidRPr="00E12917" w:rsidTr="002F6AD8">
        <w:tc>
          <w:tcPr>
            <w:tcW w:w="13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AF1DD" w:themeFill="accent3" w:themeFillTint="33"/>
          </w:tcPr>
          <w:p w:rsidR="002F6AD8" w:rsidRPr="00E12917" w:rsidRDefault="002F6AD8" w:rsidP="002F6AD8">
            <w:pPr>
              <w:jc w:val="center"/>
              <w:rPr>
                <w:b/>
              </w:rPr>
            </w:pPr>
            <w:r w:rsidRPr="00E12917">
              <w:rPr>
                <w:b/>
              </w:rPr>
              <w:t>Profili professionali</w:t>
            </w:r>
          </w:p>
        </w:tc>
        <w:tc>
          <w:tcPr>
            <w:tcW w:w="13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AF1DD" w:themeFill="accent3" w:themeFillTint="33"/>
          </w:tcPr>
          <w:p w:rsidR="002F6AD8" w:rsidRPr="00E12917" w:rsidRDefault="002F6AD8" w:rsidP="002F6AD8">
            <w:pPr>
              <w:jc w:val="center"/>
              <w:rPr>
                <w:b/>
              </w:rPr>
            </w:pPr>
            <w:r w:rsidRPr="00E12917">
              <w:rPr>
                <w:b/>
              </w:rPr>
              <w:t>Terziario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AF1DD" w:themeFill="accent3" w:themeFillTint="33"/>
          </w:tcPr>
          <w:p w:rsidR="002F6AD8" w:rsidRPr="00E12917" w:rsidRDefault="002F6AD8" w:rsidP="002F6AD8">
            <w:pPr>
              <w:jc w:val="center"/>
              <w:rPr>
                <w:b/>
              </w:rPr>
            </w:pPr>
            <w:r w:rsidRPr="00E12917">
              <w:rPr>
                <w:b/>
              </w:rPr>
              <w:t>Cooperative Sociali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AF1DD" w:themeFill="accent3" w:themeFillTint="33"/>
          </w:tcPr>
          <w:p w:rsidR="002F6AD8" w:rsidRPr="00E12917" w:rsidRDefault="002F6AD8" w:rsidP="002F6AD8">
            <w:pPr>
              <w:jc w:val="center"/>
              <w:rPr>
                <w:b/>
              </w:rPr>
            </w:pPr>
            <w:r w:rsidRPr="00E12917">
              <w:rPr>
                <w:b/>
              </w:rPr>
              <w:t>Enti socio assistenziali UNEBA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AF1DD" w:themeFill="accent3" w:themeFillTint="33"/>
          </w:tcPr>
          <w:p w:rsidR="002F6AD8" w:rsidRPr="00E12917" w:rsidRDefault="002F6AD8" w:rsidP="002F6AD8">
            <w:pPr>
              <w:jc w:val="center"/>
              <w:rPr>
                <w:b/>
              </w:rPr>
            </w:pPr>
            <w:r w:rsidRPr="00E12917">
              <w:rPr>
                <w:b/>
              </w:rPr>
              <w:t>Enti ecclesiastici AGIDAE</w:t>
            </w:r>
          </w:p>
        </w:tc>
      </w:tr>
      <w:tr w:rsidR="002F6AD8" w:rsidRPr="009B64BA" w:rsidTr="002F6AD8">
        <w:tc>
          <w:tcPr>
            <w:tcW w:w="13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AF1DD" w:themeFill="accent3" w:themeFillTint="33"/>
          </w:tcPr>
          <w:p w:rsidR="002F6AD8" w:rsidRPr="00E12917" w:rsidRDefault="002F6AD8" w:rsidP="005F6259">
            <w:pPr>
              <w:rPr>
                <w:b/>
              </w:rPr>
            </w:pPr>
            <w:r w:rsidRPr="00E12917">
              <w:rPr>
                <w:b/>
              </w:rPr>
              <w:t>A</w:t>
            </w:r>
          </w:p>
        </w:tc>
        <w:tc>
          <w:tcPr>
            <w:tcW w:w="13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F6AD8" w:rsidRPr="009B64BA" w:rsidRDefault="002F6AD8" w:rsidP="005F6259">
            <w:r w:rsidRPr="009B64BA">
              <w:t>31.444,14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F6AD8" w:rsidRPr="009B64BA" w:rsidRDefault="002F6AD8" w:rsidP="005F6259">
            <w:r w:rsidRPr="009B64BA">
              <w:t>28.349,49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F6AD8" w:rsidRPr="009B64BA" w:rsidRDefault="002F6AD8" w:rsidP="005F6259">
            <w:r w:rsidRPr="009B64BA">
              <w:t>23.311,26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F6AD8" w:rsidRPr="009B64BA" w:rsidRDefault="002F6AD8" w:rsidP="005F6259">
            <w:r w:rsidRPr="009B64BA">
              <w:t>27.624,35</w:t>
            </w:r>
          </w:p>
        </w:tc>
      </w:tr>
      <w:tr w:rsidR="002F6AD8" w:rsidRPr="009B64BA" w:rsidTr="002F6AD8">
        <w:tc>
          <w:tcPr>
            <w:tcW w:w="13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AF1DD" w:themeFill="accent3" w:themeFillTint="33"/>
          </w:tcPr>
          <w:p w:rsidR="002F6AD8" w:rsidRPr="00E12917" w:rsidRDefault="002F6AD8" w:rsidP="005F6259">
            <w:pPr>
              <w:rPr>
                <w:b/>
              </w:rPr>
            </w:pPr>
            <w:r w:rsidRPr="00E12917">
              <w:rPr>
                <w:b/>
              </w:rPr>
              <w:t>B</w:t>
            </w:r>
          </w:p>
        </w:tc>
        <w:tc>
          <w:tcPr>
            <w:tcW w:w="13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F6AD8" w:rsidRPr="009B64BA" w:rsidRDefault="002F6AD8" w:rsidP="005F6259">
            <w:r w:rsidRPr="009B64BA">
              <w:t>28.145,18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F6AD8" w:rsidRPr="009B64BA" w:rsidRDefault="002F6AD8" w:rsidP="005F6259">
            <w:r w:rsidRPr="009B64BA">
              <w:t>24.823,63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F6AD8" w:rsidRPr="009B64BA" w:rsidRDefault="002F6AD8" w:rsidP="005F6259">
            <w:r w:rsidRPr="009B64BA">
              <w:t>21.983,50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F6AD8" w:rsidRPr="009B64BA" w:rsidRDefault="002F6AD8" w:rsidP="005F6259">
            <w:r w:rsidRPr="009B64BA">
              <w:t>26.216,19</w:t>
            </w:r>
          </w:p>
        </w:tc>
      </w:tr>
      <w:tr w:rsidR="002F6AD8" w:rsidRPr="009B64BA" w:rsidTr="002F6AD8">
        <w:tc>
          <w:tcPr>
            <w:tcW w:w="13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AF1DD" w:themeFill="accent3" w:themeFillTint="33"/>
          </w:tcPr>
          <w:p w:rsidR="002F6AD8" w:rsidRPr="00E12917" w:rsidRDefault="002F6AD8" w:rsidP="005F6259">
            <w:pPr>
              <w:rPr>
                <w:b/>
              </w:rPr>
            </w:pPr>
            <w:r w:rsidRPr="00E12917">
              <w:rPr>
                <w:b/>
              </w:rPr>
              <w:t>C</w:t>
            </w:r>
          </w:p>
        </w:tc>
        <w:tc>
          <w:tcPr>
            <w:tcW w:w="13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F6AD8" w:rsidRPr="009B64BA" w:rsidRDefault="002F6AD8" w:rsidP="005F6259">
            <w:r w:rsidRPr="009B64BA">
              <w:t>25.074,56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F6AD8" w:rsidRPr="009B64BA" w:rsidRDefault="002F6AD8" w:rsidP="005F6259">
            <w:r w:rsidRPr="009B64BA">
              <w:t>22.475,70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F6AD8" w:rsidRPr="009B64BA" w:rsidRDefault="002F6AD8" w:rsidP="005F6259">
            <w:r w:rsidRPr="009B64BA">
              <w:t>20.360,34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F6AD8" w:rsidRPr="009B64BA" w:rsidRDefault="002F6AD8" w:rsidP="005F6259">
            <w:r w:rsidRPr="009B64BA">
              <w:t>24.794,12</w:t>
            </w:r>
          </w:p>
        </w:tc>
      </w:tr>
      <w:tr w:rsidR="002F6AD8" w:rsidRPr="009B64BA" w:rsidTr="002F6AD8">
        <w:tc>
          <w:tcPr>
            <w:tcW w:w="13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AF1DD" w:themeFill="accent3" w:themeFillTint="33"/>
          </w:tcPr>
          <w:p w:rsidR="002F6AD8" w:rsidRPr="00E12917" w:rsidRDefault="002F6AD8" w:rsidP="005F6259">
            <w:pPr>
              <w:rPr>
                <w:b/>
              </w:rPr>
            </w:pPr>
            <w:r w:rsidRPr="00E12917">
              <w:rPr>
                <w:b/>
              </w:rPr>
              <w:t>D</w:t>
            </w:r>
          </w:p>
        </w:tc>
        <w:tc>
          <w:tcPr>
            <w:tcW w:w="13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F6AD8" w:rsidRPr="009B64BA" w:rsidRDefault="002F6AD8" w:rsidP="005F6259">
            <w:r w:rsidRPr="009B64BA">
              <w:t>22.633,52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F6AD8" w:rsidRPr="009B64BA" w:rsidRDefault="002F6AD8" w:rsidP="005F6259">
            <w:r w:rsidRPr="009B64BA">
              <w:t>20.823,40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F6AD8" w:rsidRPr="009B64BA" w:rsidRDefault="002F6AD8" w:rsidP="005F6259">
            <w:r w:rsidRPr="009B64BA">
              <w:t>19.622,68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F6AD8" w:rsidRPr="009B64BA" w:rsidRDefault="002F6AD8" w:rsidP="005F6259">
            <w:r w:rsidRPr="009B64BA">
              <w:t>23.385,70</w:t>
            </w:r>
          </w:p>
        </w:tc>
      </w:tr>
    </w:tbl>
    <w:p w:rsidR="002F6AD8" w:rsidRDefault="002F6AD8" w:rsidP="002F6AD8"/>
    <w:p w:rsidR="00954A0A" w:rsidRDefault="00954A0A" w:rsidP="00BE7319">
      <w:pPr>
        <w:jc w:val="both"/>
      </w:pPr>
      <w:r>
        <w:t xml:space="preserve">I compensi della tabella sopra corrispondono alla retribuzione lorda annuale dei </w:t>
      </w:r>
      <w:r w:rsidR="00CE4CE5">
        <w:t xml:space="preserve">lavoratori </w:t>
      </w:r>
      <w:r>
        <w:t>dipendenti (</w:t>
      </w:r>
      <w:r w:rsidR="00CE4CE5">
        <w:t>comprese mensilità aggiuntive)</w:t>
      </w:r>
      <w:r w:rsidR="00BE7319">
        <w:t>, secondo la seguente corrispondenza profili professionali/livelli:</w:t>
      </w: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7"/>
        <w:gridCol w:w="992"/>
        <w:gridCol w:w="1276"/>
        <w:gridCol w:w="1276"/>
        <w:gridCol w:w="1275"/>
      </w:tblGrid>
      <w:tr w:rsidR="00BE7319" w:rsidRPr="009B64BA" w:rsidTr="00E20E65">
        <w:trPr>
          <w:trHeight w:val="836"/>
        </w:trPr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AF1DD" w:themeFill="accent3" w:themeFillTint="33"/>
          </w:tcPr>
          <w:p w:rsidR="00BE7319" w:rsidRPr="00E20E65" w:rsidRDefault="00BE7319" w:rsidP="00E20E65">
            <w:pPr>
              <w:jc w:val="center"/>
              <w:rPr>
                <w:b/>
              </w:rPr>
            </w:pPr>
            <w:r w:rsidRPr="00E20E65">
              <w:rPr>
                <w:b/>
              </w:rPr>
              <w:t>Profili professionali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AF1DD" w:themeFill="accent3" w:themeFillTint="33"/>
          </w:tcPr>
          <w:p w:rsidR="00BE7319" w:rsidRPr="00E20E65" w:rsidRDefault="00BE7319" w:rsidP="00E20E65">
            <w:pPr>
              <w:jc w:val="center"/>
              <w:rPr>
                <w:b/>
              </w:rPr>
            </w:pPr>
            <w:r w:rsidRPr="00E20E65">
              <w:rPr>
                <w:b/>
              </w:rPr>
              <w:t>Terziario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AF1DD" w:themeFill="accent3" w:themeFillTint="33"/>
          </w:tcPr>
          <w:p w:rsidR="00BE7319" w:rsidRPr="00E20E65" w:rsidRDefault="00BE7319" w:rsidP="00E20E65">
            <w:pPr>
              <w:jc w:val="center"/>
              <w:rPr>
                <w:b/>
              </w:rPr>
            </w:pPr>
            <w:r w:rsidRPr="00E20E65">
              <w:rPr>
                <w:b/>
              </w:rPr>
              <w:t>Cooperative Sociali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AF1DD" w:themeFill="accent3" w:themeFillTint="33"/>
          </w:tcPr>
          <w:p w:rsidR="00BE7319" w:rsidRPr="00E20E65" w:rsidRDefault="00BE7319" w:rsidP="00E20E65">
            <w:pPr>
              <w:jc w:val="center"/>
              <w:rPr>
                <w:b/>
              </w:rPr>
            </w:pPr>
            <w:r w:rsidRPr="00E20E65">
              <w:rPr>
                <w:b/>
              </w:rPr>
              <w:t>Enti socio assistenziali UNEBA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AF1DD" w:themeFill="accent3" w:themeFillTint="33"/>
          </w:tcPr>
          <w:p w:rsidR="00BE7319" w:rsidRPr="00E20E65" w:rsidRDefault="00BE7319" w:rsidP="00E20E65">
            <w:pPr>
              <w:jc w:val="center"/>
              <w:rPr>
                <w:b/>
              </w:rPr>
            </w:pPr>
            <w:r w:rsidRPr="00E20E65">
              <w:rPr>
                <w:b/>
              </w:rPr>
              <w:t>Enti ecclesiastici AGIDAE</w:t>
            </w:r>
          </w:p>
        </w:tc>
      </w:tr>
      <w:tr w:rsidR="00BE7319" w:rsidRPr="009B64BA" w:rsidTr="00E20E65"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AF1DD" w:themeFill="accent3" w:themeFillTint="33"/>
          </w:tcPr>
          <w:p w:rsidR="00BE7319" w:rsidRPr="00E20E65" w:rsidRDefault="00BE7319" w:rsidP="005F6259">
            <w:pPr>
              <w:rPr>
                <w:b/>
              </w:rPr>
            </w:pPr>
            <w:r w:rsidRPr="00E20E65">
              <w:rPr>
                <w:b/>
              </w:rPr>
              <w:t>A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E7319" w:rsidRPr="009B64BA" w:rsidRDefault="00BE7319" w:rsidP="005F6259">
            <w:r w:rsidRPr="009B64BA"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E7319" w:rsidRPr="009B64BA" w:rsidRDefault="00BE7319" w:rsidP="005F6259">
            <w:r w:rsidRPr="009B64BA">
              <w:t>F2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E7319" w:rsidRPr="009B64BA" w:rsidRDefault="00BE7319" w:rsidP="005F6259">
            <w:r w:rsidRPr="009B64BA">
              <w:t>1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BE7319" w:rsidRPr="009B64BA" w:rsidRDefault="00BE7319" w:rsidP="005F6259">
            <w:r w:rsidRPr="009B64BA">
              <w:t>F2</w:t>
            </w:r>
          </w:p>
        </w:tc>
      </w:tr>
      <w:tr w:rsidR="00BE7319" w:rsidRPr="009B64BA" w:rsidTr="00E20E65"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AF1DD" w:themeFill="accent3" w:themeFillTint="33"/>
          </w:tcPr>
          <w:p w:rsidR="00BE7319" w:rsidRPr="00E20E65" w:rsidRDefault="00BE7319" w:rsidP="005F6259">
            <w:pPr>
              <w:rPr>
                <w:b/>
              </w:rPr>
            </w:pPr>
            <w:r w:rsidRPr="00E20E65">
              <w:rPr>
                <w:b/>
              </w:rPr>
              <w:t>B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E7319" w:rsidRPr="009B64BA" w:rsidRDefault="00BE7319" w:rsidP="005F6259">
            <w:r w:rsidRPr="009B64BA">
              <w:t>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E7319" w:rsidRPr="009B64BA" w:rsidRDefault="00BE7319" w:rsidP="005F6259">
            <w:r w:rsidRPr="009B64BA">
              <w:t>F1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E7319" w:rsidRPr="009B64BA" w:rsidRDefault="00BE7319" w:rsidP="005F6259">
            <w:r w:rsidRPr="009B64BA">
              <w:t>2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BE7319" w:rsidRPr="009B64BA" w:rsidRDefault="00BE7319" w:rsidP="005F6259">
            <w:r w:rsidRPr="009B64BA">
              <w:t>F1</w:t>
            </w:r>
          </w:p>
        </w:tc>
      </w:tr>
      <w:tr w:rsidR="00BE7319" w:rsidRPr="009B64BA" w:rsidTr="00E20E65"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AF1DD" w:themeFill="accent3" w:themeFillTint="33"/>
          </w:tcPr>
          <w:p w:rsidR="00BE7319" w:rsidRPr="00E20E65" w:rsidRDefault="00BE7319" w:rsidP="005F6259">
            <w:pPr>
              <w:rPr>
                <w:b/>
              </w:rPr>
            </w:pPr>
            <w:r w:rsidRPr="00E20E65">
              <w:rPr>
                <w:b/>
              </w:rPr>
              <w:t>C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E7319" w:rsidRPr="009B64BA" w:rsidRDefault="00BE7319" w:rsidP="005F6259">
            <w:r w:rsidRPr="009B64BA">
              <w:t>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E7319" w:rsidRPr="009B64BA" w:rsidRDefault="00BE7319" w:rsidP="005F6259">
            <w:r w:rsidRPr="009B64BA">
              <w:t>E2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E7319" w:rsidRPr="009B64BA" w:rsidRDefault="00BE7319" w:rsidP="005F6259">
            <w:r w:rsidRPr="009B64BA">
              <w:t>3S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BE7319" w:rsidRPr="009B64BA" w:rsidRDefault="00BE7319" w:rsidP="005F6259">
            <w:r w:rsidRPr="009B64BA">
              <w:t>E2</w:t>
            </w:r>
          </w:p>
        </w:tc>
      </w:tr>
      <w:tr w:rsidR="00BE7319" w:rsidRPr="009B64BA" w:rsidTr="00E20E65"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AF1DD" w:themeFill="accent3" w:themeFillTint="33"/>
          </w:tcPr>
          <w:p w:rsidR="00BE7319" w:rsidRPr="00E20E65" w:rsidRDefault="00BE7319" w:rsidP="005F6259">
            <w:pPr>
              <w:rPr>
                <w:b/>
              </w:rPr>
            </w:pPr>
            <w:r w:rsidRPr="00E20E65">
              <w:rPr>
                <w:b/>
              </w:rPr>
              <w:t>D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E7319" w:rsidRPr="009B64BA" w:rsidRDefault="00BE7319" w:rsidP="005F6259">
            <w:r w:rsidRPr="009B64BA">
              <w:t>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E7319" w:rsidRPr="009B64BA" w:rsidRDefault="00BE7319" w:rsidP="005F6259">
            <w:r w:rsidRPr="009B64BA">
              <w:t>E1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BE7319" w:rsidRPr="009B64BA" w:rsidRDefault="00BE7319" w:rsidP="005F6259">
            <w:r w:rsidRPr="009B64BA">
              <w:t>3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BE7319" w:rsidRPr="009B64BA" w:rsidRDefault="00BE7319" w:rsidP="005F6259">
            <w:r w:rsidRPr="009B64BA">
              <w:t>E1</w:t>
            </w:r>
          </w:p>
        </w:tc>
      </w:tr>
    </w:tbl>
    <w:p w:rsidR="00786711" w:rsidRDefault="00786711" w:rsidP="00786711">
      <w:pPr>
        <w:spacing w:after="0"/>
        <w:jc w:val="both"/>
      </w:pPr>
    </w:p>
    <w:p w:rsidR="00672BAA" w:rsidRDefault="00672BAA" w:rsidP="00786711">
      <w:pPr>
        <w:spacing w:after="0"/>
      </w:pPr>
    </w:p>
    <w:p w:rsidR="007314D9" w:rsidRDefault="007314D9" w:rsidP="00786711">
      <w:pPr>
        <w:spacing w:after="0"/>
      </w:pPr>
      <w:r>
        <w:t>I compensi</w:t>
      </w:r>
      <w:r w:rsidR="00786711">
        <w:t xml:space="preserve"> devono essere:</w:t>
      </w:r>
    </w:p>
    <w:p w:rsidR="00786711" w:rsidRDefault="00786711" w:rsidP="00786711">
      <w:pPr>
        <w:pStyle w:val="Paragrafoelenco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spacing w:after="0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88265</wp:posOffset>
                </wp:positionV>
                <wp:extent cx="510540" cy="198120"/>
                <wp:effectExtent l="0" t="19050" r="41910" b="30480"/>
                <wp:wrapNone/>
                <wp:docPr id="3" name="Freccia a destr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" cy="19812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FAACC95" id="Freccia a destra 3" o:spid="_x0000_s1026" type="#_x0000_t13" style="position:absolute;margin-left:28.5pt;margin-top:6.95pt;width:40.2pt;height:15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" adj="17409" fillcolor="#4f81bd [3204]" strokecolor="#243f60 [1604]" strokeweight="2pt"/>
            </w:pict>
          </mc:Fallback>
        </mc:AlternateContent>
      </w:r>
      <w:r>
        <w:t>Aggiornati con gli aumenti retributivi previsti dai CCNL;</w:t>
      </w:r>
    </w:p>
    <w:p w:rsidR="00786711" w:rsidRDefault="00786711" w:rsidP="00786711">
      <w:pPr>
        <w:pStyle w:val="Paragrafoelenco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spacing w:after="0"/>
        <w:rPr>
          <w:b/>
        </w:rPr>
      </w:pPr>
      <w:r w:rsidRPr="00786711">
        <w:rPr>
          <w:b/>
        </w:rPr>
        <w:t>Maggiorati del 6%.</w:t>
      </w:r>
    </w:p>
    <w:p w:rsidR="003E2410" w:rsidRDefault="003E2410" w:rsidP="00786711">
      <w:pPr>
        <w:pBdr>
          <w:bottom w:val="single" w:sz="4" w:space="1" w:color="auto"/>
        </w:pBdr>
        <w:spacing w:after="0"/>
        <w:jc w:val="both"/>
      </w:pPr>
      <w:r>
        <w:t>Nel caso in cui il contratto contenga una clausola di esclusività, il compenso lordo deve essere maggiorato del 5%.</w:t>
      </w:r>
    </w:p>
    <w:p w:rsidR="000E42A5" w:rsidRDefault="000E42A5" w:rsidP="00786711">
      <w:pPr>
        <w:pBdr>
          <w:bottom w:val="single" w:sz="4" w:space="1" w:color="auto"/>
        </w:pBdr>
        <w:spacing w:after="0"/>
        <w:jc w:val="both"/>
      </w:pPr>
      <w:r>
        <w:t>La OSC garantisce inoltre</w:t>
      </w:r>
      <w:r w:rsidR="00B12AA6">
        <w:t xml:space="preserve"> - </w:t>
      </w:r>
      <w:r w:rsidR="00B12AA6" w:rsidRPr="00996BA2">
        <w:rPr>
          <w:u w:val="single"/>
        </w:rPr>
        <w:t>a sostegno al sistema di rappresentanza unitaria</w:t>
      </w:r>
      <w:r w:rsidR="00B12AA6">
        <w:t xml:space="preserve"> </w:t>
      </w:r>
      <w:r w:rsidR="00996BA2">
        <w:t xml:space="preserve">(e quindi nei confronti dei sindacati firmatari dell’Accordo) </w:t>
      </w:r>
      <w:r w:rsidR="00B12AA6">
        <w:t>-</w:t>
      </w:r>
      <w:r>
        <w:t xml:space="preserve"> una contribuzione </w:t>
      </w:r>
      <w:r w:rsidR="00B12AA6">
        <w:t>pari allo 0,3% dell’imponibile previdenziale dei compensi dei collaboratori</w:t>
      </w:r>
      <w:r w:rsidR="00996BA2">
        <w:t>.</w:t>
      </w:r>
    </w:p>
    <w:p w:rsidR="00786711" w:rsidRDefault="00786711" w:rsidP="00786711">
      <w:pPr>
        <w:pBdr>
          <w:bottom w:val="single" w:sz="4" w:space="1" w:color="auto"/>
        </w:pBdr>
        <w:spacing w:after="0"/>
        <w:jc w:val="both"/>
      </w:pPr>
      <w:r w:rsidRPr="00786711">
        <w:t xml:space="preserve">Non ci sono novità </w:t>
      </w:r>
      <w:r>
        <w:t>rispetto al precedente Accordo, i criteri per la determinazione dell’importo rimangono invariati.</w:t>
      </w:r>
    </w:p>
    <w:p w:rsidR="00CC1199" w:rsidRDefault="00CC1199" w:rsidP="00CC1199">
      <w:pPr>
        <w:pStyle w:val="Paragrafoelenco"/>
        <w:spacing w:after="0"/>
        <w:jc w:val="both"/>
      </w:pPr>
    </w:p>
    <w:p w:rsidR="00CC1199" w:rsidRDefault="00CC1199" w:rsidP="00CC1199">
      <w:pPr>
        <w:pStyle w:val="Paragrafoelenco"/>
        <w:spacing w:after="0"/>
        <w:jc w:val="both"/>
      </w:pPr>
    </w:p>
    <w:p w:rsidR="00786711" w:rsidRPr="00672BAA" w:rsidRDefault="003E2410" w:rsidP="00F62448">
      <w:pPr>
        <w:pStyle w:val="Paragrafoelenco"/>
        <w:numPr>
          <w:ilvl w:val="0"/>
          <w:numId w:val="1"/>
        </w:numPr>
        <w:spacing w:after="0"/>
        <w:jc w:val="both"/>
        <w:rPr>
          <w:b/>
        </w:rPr>
      </w:pPr>
      <w:r w:rsidRPr="00672BAA">
        <w:rPr>
          <w:b/>
        </w:rPr>
        <w:t>Malattia e infortunio</w:t>
      </w:r>
    </w:p>
    <w:p w:rsidR="00CC1199" w:rsidRDefault="00CC1199" w:rsidP="00CC1199">
      <w:pPr>
        <w:spacing w:after="0"/>
        <w:jc w:val="both"/>
      </w:pPr>
    </w:p>
    <w:p w:rsidR="003E2410" w:rsidRDefault="00544C28" w:rsidP="00513157">
      <w:pPr>
        <w:pBdr>
          <w:top w:val="single" w:sz="4" w:space="1" w:color="auto"/>
        </w:pBdr>
        <w:spacing w:after="0"/>
        <w:jc w:val="both"/>
      </w:pPr>
      <w:r>
        <w:t xml:space="preserve">In caso di malattia o infortunio che incidano sulla realizzazione attività dell’oggetto della co.co.co. </w:t>
      </w:r>
      <w:r w:rsidRPr="003A3207">
        <w:rPr>
          <w:b/>
        </w:rPr>
        <w:t>il contratto rimane sospeso, senza compenso</w:t>
      </w:r>
      <w:r w:rsidR="003A3207" w:rsidRPr="003A3207">
        <w:rPr>
          <w:b/>
        </w:rPr>
        <w:t>,</w:t>
      </w:r>
      <w:r w:rsidRPr="003A3207">
        <w:rPr>
          <w:b/>
        </w:rPr>
        <w:t xml:space="preserve"> fino alla guarigione del collaboratore e comunque fino ad un massimo di 1/6 della durata del contratto</w:t>
      </w:r>
      <w:r>
        <w:t xml:space="preserve"> (se determinata, 30 giorni se il contratto ha durata determinabile).</w:t>
      </w:r>
      <w:r w:rsidR="000650DF">
        <w:t xml:space="preserve"> </w:t>
      </w:r>
    </w:p>
    <w:p w:rsidR="003A3207" w:rsidRDefault="003A3207" w:rsidP="00513157">
      <w:pPr>
        <w:pBdr>
          <w:top w:val="single" w:sz="4" w:space="1" w:color="auto"/>
        </w:pBdr>
        <w:spacing w:after="0"/>
        <w:jc w:val="both"/>
      </w:pPr>
      <w:r>
        <w:t>Fermo restando quanto sopra, se durante il periodo di sospensione per malattia o infortunio interviene la scadenza del contratto, questa viene posticipata per un periodo corrispondente alla durata dello stato di malattia, per un massimo di 60 giorni.</w:t>
      </w:r>
    </w:p>
    <w:p w:rsidR="00786711" w:rsidRDefault="00786711" w:rsidP="00786711">
      <w:pPr>
        <w:spacing w:after="0"/>
        <w:jc w:val="both"/>
      </w:pPr>
    </w:p>
    <w:p w:rsidR="003A3207" w:rsidRPr="00513157" w:rsidRDefault="003A3207" w:rsidP="005131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b/>
        </w:rPr>
      </w:pPr>
      <w:bookmarkStart w:id="2" w:name="_Hlk513801782"/>
      <w:r w:rsidRPr="00513157">
        <w:rPr>
          <w:b/>
        </w:rPr>
        <w:t xml:space="preserve">Novità: il precedente Accordo non conteneva previsioni esplicite sulla malattia, disciplinata direttamente dalla legge allora applicabile (D.Lgs. 276/03). </w:t>
      </w:r>
      <w:r w:rsidR="009E6820" w:rsidRPr="00513157">
        <w:rPr>
          <w:b/>
        </w:rPr>
        <w:t xml:space="preserve">La disciplina generale viene ripresa dalla normativa in vigore nel 2013 ed oggi abrogata, </w:t>
      </w:r>
      <w:bookmarkEnd w:id="2"/>
      <w:r w:rsidR="009E6820" w:rsidRPr="00513157">
        <w:rPr>
          <w:b/>
        </w:rPr>
        <w:t>per dare continuità alla tutela del collaboratore, e viene aggiunta una proroga (solo se durante il periodo di malattia scade il contratto) pari alla durata della malattia e comunque per un massimo di 60 giorni.</w:t>
      </w:r>
    </w:p>
    <w:p w:rsidR="00786711" w:rsidRDefault="00786711" w:rsidP="00786711">
      <w:pPr>
        <w:spacing w:after="0"/>
        <w:jc w:val="both"/>
      </w:pPr>
    </w:p>
    <w:p w:rsidR="00513157" w:rsidRDefault="00513157" w:rsidP="00786711">
      <w:pPr>
        <w:spacing w:after="0"/>
        <w:jc w:val="both"/>
      </w:pPr>
    </w:p>
    <w:p w:rsidR="00513157" w:rsidRDefault="00513157" w:rsidP="00513157">
      <w:pPr>
        <w:pStyle w:val="Paragrafoelenco"/>
        <w:numPr>
          <w:ilvl w:val="0"/>
          <w:numId w:val="1"/>
        </w:numPr>
        <w:spacing w:after="0"/>
        <w:jc w:val="both"/>
        <w:rPr>
          <w:b/>
        </w:rPr>
      </w:pPr>
      <w:r w:rsidRPr="00513157">
        <w:rPr>
          <w:b/>
        </w:rPr>
        <w:t>Maternità</w:t>
      </w:r>
    </w:p>
    <w:p w:rsidR="00513157" w:rsidRDefault="00513157" w:rsidP="00513157">
      <w:pPr>
        <w:pStyle w:val="Paragrafoelenco"/>
        <w:spacing w:after="0"/>
        <w:jc w:val="both"/>
        <w:rPr>
          <w:b/>
        </w:rPr>
      </w:pPr>
    </w:p>
    <w:p w:rsidR="001A6DB8" w:rsidRDefault="00513157" w:rsidP="00C41361">
      <w:pPr>
        <w:pBdr>
          <w:top w:val="single" w:sz="4" w:space="1" w:color="auto"/>
        </w:pBdr>
        <w:jc w:val="both"/>
      </w:pPr>
      <w:r>
        <w:t xml:space="preserve">Nel caso di maternità intervenuta durante </w:t>
      </w:r>
      <w:r w:rsidR="001A6DB8">
        <w:t>il rapporto di collaborazione il contratto rimarrà sospeso (senza corresponsione del compenso) per un periodo corrispondente al congedo obbligatorio (e parentale qualora la collaboratrice ne faccia richiesta). La sospensione del rapporto</w:t>
      </w:r>
      <w:r w:rsidR="00A65A07">
        <w:t xml:space="preserve"> – </w:t>
      </w:r>
      <w:r w:rsidR="00A65A07" w:rsidRPr="00C41361">
        <w:rPr>
          <w:b/>
        </w:rPr>
        <w:t>che interviene in caso di congedo obbligatorio (anche anticipato</w:t>
      </w:r>
      <w:r w:rsidR="00C953F9">
        <w:rPr>
          <w:b/>
        </w:rPr>
        <w:t xml:space="preserve"> e anche in caso di </w:t>
      </w:r>
      <w:r w:rsidR="00C953F9" w:rsidRPr="00C953F9">
        <w:rPr>
          <w:b/>
        </w:rPr>
        <w:t>adozione e/o affidamento</w:t>
      </w:r>
      <w:r w:rsidR="00A65A07" w:rsidRPr="00C41361">
        <w:rPr>
          <w:b/>
        </w:rPr>
        <w:t>)</w:t>
      </w:r>
      <w:r w:rsidR="00A65A07">
        <w:t xml:space="preserve"> -</w:t>
      </w:r>
      <w:r w:rsidR="001A6DB8">
        <w:t xml:space="preserve"> dà diritto:</w:t>
      </w:r>
    </w:p>
    <w:p w:rsidR="00A65A07" w:rsidRDefault="00D56EBA" w:rsidP="00E305C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spacing w:after="0"/>
        <w:ind w:left="1416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56DD45" wp14:editId="1B736959">
                <wp:simplePos x="0" y="0"/>
                <wp:positionH relativeFrom="column">
                  <wp:posOffset>251460</wp:posOffset>
                </wp:positionH>
                <wp:positionV relativeFrom="paragraph">
                  <wp:posOffset>157480</wp:posOffset>
                </wp:positionV>
                <wp:extent cx="510540" cy="198120"/>
                <wp:effectExtent l="0" t="19050" r="41910" b="30480"/>
                <wp:wrapNone/>
                <wp:docPr id="4" name="Freccia a destr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" cy="19812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5284D59" id="Freccia a destra 4" o:spid="_x0000_s1026" type="#_x0000_t13" style="position:absolute;margin-left:19.8pt;margin-top:12.4pt;width:40.2pt;height:15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" adj="17409" fillcolor="#4f81bd" strokecolor="#385d8a" strokeweight="2pt"/>
            </w:pict>
          </mc:Fallback>
        </mc:AlternateContent>
      </w:r>
      <w:r w:rsidR="001A6DB8">
        <w:t>- alla proroga per un periodo pari alla sospensione e comunque fino ad un massimo di 180 giorni</w:t>
      </w:r>
      <w:r w:rsidR="00214623">
        <w:t xml:space="preserve">. In caso di impossibilità di proroga </w:t>
      </w:r>
      <w:r w:rsidR="00E305C2">
        <w:t xml:space="preserve">l’OSC propone alla collaboratrice un altro contratto di durata pari a quella della proroga. Se la collaboratrice non accetta, l’OSC le corrisponderà un’indennità pari al 2,5% del compenso stabilito dal contratto individuale e comunque compresa tra € 300,00 ed € 600,00 (elevate a 700,00 dall’1/01/2020). </w:t>
      </w:r>
    </w:p>
    <w:p w:rsidR="00D56EBA" w:rsidRDefault="00A65A07" w:rsidP="00D56E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spacing w:after="0"/>
        <w:ind w:left="1416"/>
      </w:pPr>
      <w:r>
        <w:t xml:space="preserve">- </w:t>
      </w:r>
      <w:r w:rsidR="00C41361">
        <w:t>un’indennità una tantum di € 800,00.</w:t>
      </w:r>
      <w:r w:rsidR="001A6DB8">
        <w:t xml:space="preserve"> </w:t>
      </w:r>
    </w:p>
    <w:p w:rsidR="00E305C2" w:rsidRDefault="00E305C2" w:rsidP="00D56EBA">
      <w:pPr>
        <w:rPr>
          <w:b/>
        </w:rPr>
      </w:pPr>
    </w:p>
    <w:p w:rsidR="00C953F9" w:rsidRDefault="00C953F9" w:rsidP="00D56EBA">
      <w:pPr>
        <w:rPr>
          <w:b/>
        </w:rPr>
      </w:pPr>
    </w:p>
    <w:p w:rsidR="00D56EBA" w:rsidRDefault="00E305C2" w:rsidP="00345A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E305C2">
        <w:rPr>
          <w:b/>
        </w:rPr>
        <w:lastRenderedPageBreak/>
        <w:t>Novità: il precedente Accordo non conteneva previsioni esplicite sulla ma</w:t>
      </w:r>
      <w:r w:rsidR="000C51EB">
        <w:rPr>
          <w:b/>
        </w:rPr>
        <w:t>ternità</w:t>
      </w:r>
      <w:r w:rsidRPr="00E305C2">
        <w:rPr>
          <w:b/>
        </w:rPr>
        <w:t>, disciplinata direttamente dalla legge allora applicabile (D.Lgs. 276/03). La disciplina generale viene ripresa dalla normativa in vigore nel 2013 ed oggi abrogata,</w:t>
      </w:r>
      <w:r>
        <w:rPr>
          <w:b/>
        </w:rPr>
        <w:t xml:space="preserve"> con una rilevante modifica: </w:t>
      </w:r>
      <w:r w:rsidR="00B528F1">
        <w:rPr>
          <w:b/>
        </w:rPr>
        <w:t>la proroga si ha solo in caso di astensione obbligatoria, quindi la gravidanza di per sé non dà diritto alla proroga del contratto. Vengono inoltre stabilite due indennità correlate alla maternità (€ 800,00 in occasione del congedo obbligatorio, € 300,00-600,00 in caso di impossibilità di proroga e mancata accettazione da parte della collaboratrice del</w:t>
      </w:r>
      <w:r w:rsidR="00531059">
        <w:rPr>
          <w:b/>
        </w:rPr>
        <w:t>la proposta di nuovo contratto</w:t>
      </w:r>
      <w:r w:rsidR="00345A98">
        <w:rPr>
          <w:b/>
        </w:rPr>
        <w:t>).</w:t>
      </w:r>
    </w:p>
    <w:p w:rsidR="00C953F9" w:rsidRDefault="00C953F9" w:rsidP="00E305C2">
      <w:pPr>
        <w:jc w:val="both"/>
      </w:pPr>
    </w:p>
    <w:p w:rsidR="00555D9C" w:rsidRDefault="00810907" w:rsidP="00555D9C">
      <w:pPr>
        <w:pStyle w:val="Paragrafoelenco"/>
        <w:numPr>
          <w:ilvl w:val="0"/>
          <w:numId w:val="1"/>
        </w:numPr>
        <w:jc w:val="both"/>
        <w:rPr>
          <w:b/>
        </w:rPr>
      </w:pPr>
      <w:r w:rsidRPr="00810907">
        <w:rPr>
          <w:b/>
        </w:rPr>
        <w:t>Recesso</w:t>
      </w:r>
    </w:p>
    <w:p w:rsidR="00555D9C" w:rsidRPr="00021421" w:rsidRDefault="00555D9C" w:rsidP="00021421">
      <w:pPr>
        <w:pBdr>
          <w:top w:val="single" w:sz="4" w:space="1" w:color="auto"/>
        </w:pBdr>
        <w:jc w:val="both"/>
        <w:rPr>
          <w:b/>
        </w:rPr>
      </w:pPr>
      <w:r w:rsidRPr="00021421">
        <w:rPr>
          <w:b/>
        </w:rPr>
        <w:t xml:space="preserve">Il contratto individuale potrà essere risolto: </w:t>
      </w:r>
    </w:p>
    <w:p w:rsidR="00555D9C" w:rsidRPr="009B64BA" w:rsidRDefault="00555D9C" w:rsidP="00021421">
      <w:pPr>
        <w:pStyle w:val="Paragrafoelenco"/>
        <w:numPr>
          <w:ilvl w:val="0"/>
          <w:numId w:val="4"/>
        </w:numPr>
        <w:spacing w:after="0"/>
        <w:jc w:val="both"/>
      </w:pPr>
      <w:r w:rsidRPr="009B64BA">
        <w:t>per mutuo consenso delle parti contraenti</w:t>
      </w:r>
      <w:r>
        <w:t>;</w:t>
      </w:r>
    </w:p>
    <w:p w:rsidR="00555D9C" w:rsidRPr="009B64BA" w:rsidRDefault="00555D9C" w:rsidP="00021421">
      <w:pPr>
        <w:pStyle w:val="Paragrafoelenco"/>
        <w:numPr>
          <w:ilvl w:val="0"/>
          <w:numId w:val="4"/>
        </w:numPr>
        <w:spacing w:after="0"/>
        <w:jc w:val="both"/>
      </w:pPr>
      <w:r w:rsidRPr="009B64BA">
        <w:t>da una di queste qualora si verifichi una giusta causa di recesso</w:t>
      </w:r>
      <w:r>
        <w:t>;</w:t>
      </w:r>
    </w:p>
    <w:p w:rsidR="00555D9C" w:rsidRPr="009B64BA" w:rsidRDefault="00555D9C" w:rsidP="00021421">
      <w:pPr>
        <w:pStyle w:val="Paragrafoelenco"/>
        <w:numPr>
          <w:ilvl w:val="0"/>
          <w:numId w:val="4"/>
        </w:numPr>
        <w:spacing w:after="0"/>
        <w:jc w:val="both"/>
      </w:pPr>
      <w:r w:rsidRPr="009B64BA">
        <w:t xml:space="preserve">per comprovati motivi di forza maggiore. </w:t>
      </w:r>
    </w:p>
    <w:p w:rsidR="00810907" w:rsidRDefault="00650B28" w:rsidP="00E305C2">
      <w:pPr>
        <w:jc w:val="both"/>
      </w:pPr>
      <w:r>
        <w:t>Inoltre il collaboratore, oltre alle motivazioni di cui sopra, può esercitare libero recesso con preavviso di:</w:t>
      </w:r>
    </w:p>
    <w:p w:rsidR="00650B28" w:rsidRDefault="00650B28" w:rsidP="006221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</w:pPr>
      <w:bookmarkStart w:id="3" w:name="_Hlk513803566"/>
      <w:r>
        <w:t>- almeno 60 giorni per le attività relative ai profili professionali C e D;</w:t>
      </w:r>
    </w:p>
    <w:bookmarkEnd w:id="3"/>
    <w:p w:rsidR="00650B28" w:rsidRPr="00650B28" w:rsidRDefault="00650B28" w:rsidP="006221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</w:pPr>
      <w:r w:rsidRPr="00650B28">
        <w:t xml:space="preserve">- almeno </w:t>
      </w:r>
      <w:r>
        <w:t>9</w:t>
      </w:r>
      <w:r w:rsidRPr="00650B28">
        <w:t xml:space="preserve">0 giorni per le attività relative ai profili professionali </w:t>
      </w:r>
      <w:r>
        <w:t>A</w:t>
      </w:r>
      <w:r w:rsidRPr="00650B28">
        <w:t xml:space="preserve"> e </w:t>
      </w:r>
      <w:r>
        <w:t>B</w:t>
      </w:r>
      <w:r w:rsidRPr="00650B28">
        <w:t>;</w:t>
      </w:r>
    </w:p>
    <w:p w:rsidR="00650B28" w:rsidRDefault="00650B28" w:rsidP="00650B28">
      <w:pPr>
        <w:spacing w:after="0"/>
        <w:jc w:val="both"/>
      </w:pPr>
      <w:r>
        <w:t xml:space="preserve"> </w:t>
      </w:r>
    </w:p>
    <w:p w:rsidR="00650B28" w:rsidRDefault="00622122" w:rsidP="00E305C2">
      <w:pPr>
        <w:jc w:val="both"/>
      </w:pPr>
      <w:r>
        <w:t xml:space="preserve">La quantificazione dei giorni di preavviso di cui sopra è applicabile ai contratti di durata pari ad almeno 12 mesi, per contratti di durata inferiore </w:t>
      </w:r>
      <w:r w:rsidR="00371651">
        <w:t>il periodo deve essere riproporzionato.</w:t>
      </w:r>
    </w:p>
    <w:p w:rsidR="00B077D4" w:rsidRDefault="00371651" w:rsidP="00E305C2">
      <w:pPr>
        <w:jc w:val="both"/>
        <w:rPr>
          <w:b/>
        </w:rPr>
      </w:pPr>
      <w:r>
        <w:t xml:space="preserve">Nel caso di interruzione anticipata della collaborazione all’estero per comprovati motivi di forza maggiore esterni al committente, l’OSC entro 45 giorni dalla cessazione del rapporto, </w:t>
      </w:r>
      <w:r w:rsidR="00FA62BC">
        <w:t>propone</w:t>
      </w:r>
      <w:r>
        <w:t xml:space="preserve"> una nuova collaborazione, e ove non fosse possibile, un risarcimento pari al 20% compensi maturandi, fino ad un massimo di 3 mesi. </w:t>
      </w:r>
      <w:r w:rsidRPr="00B077D4">
        <w:rPr>
          <w:b/>
        </w:rPr>
        <w:t>In mancanza del preavviso, il Collaboratore dovrà corrispondere al Committente un’indennità risarcitoria di importo proporzionato alla durata del mancato preavviso.</w:t>
      </w:r>
    </w:p>
    <w:p w:rsidR="00BE2B16" w:rsidRDefault="00B077D4" w:rsidP="003A76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B077D4">
        <w:rPr>
          <w:b/>
        </w:rPr>
        <w:t xml:space="preserve">Novità: introduzione </w:t>
      </w:r>
      <w:r>
        <w:rPr>
          <w:b/>
        </w:rPr>
        <w:t xml:space="preserve">della </w:t>
      </w:r>
      <w:r w:rsidRPr="00B077D4">
        <w:rPr>
          <w:b/>
        </w:rPr>
        <w:t>penale per il collaboratore in caso di mancato rispetto del periodo di preavviso.</w:t>
      </w:r>
    </w:p>
    <w:p w:rsidR="00371651" w:rsidRDefault="00371651" w:rsidP="00BE2B16"/>
    <w:p w:rsidR="0014237D" w:rsidRDefault="00BE2B16" w:rsidP="00BE2B16">
      <w:pPr>
        <w:pStyle w:val="Paragrafoelenco"/>
        <w:numPr>
          <w:ilvl w:val="0"/>
          <w:numId w:val="1"/>
        </w:numPr>
        <w:rPr>
          <w:b/>
        </w:rPr>
      </w:pPr>
      <w:r w:rsidRPr="0014237D">
        <w:rPr>
          <w:b/>
        </w:rPr>
        <w:t>Riposo psicof</w:t>
      </w:r>
      <w:r w:rsidR="0014237D" w:rsidRPr="0014237D">
        <w:rPr>
          <w:b/>
        </w:rPr>
        <w:t>isico</w:t>
      </w:r>
    </w:p>
    <w:p w:rsidR="0014237D" w:rsidRDefault="0014237D" w:rsidP="003172CC">
      <w:pPr>
        <w:pBdr>
          <w:top w:val="single" w:sz="4" w:space="1" w:color="auto"/>
          <w:bottom w:val="single" w:sz="4" w:space="1" w:color="auto"/>
        </w:pBdr>
      </w:pPr>
      <w:r w:rsidRPr="0014237D">
        <w:t xml:space="preserve">Il Collaboratore, qualora il suo contratto abbia durata superiore ai </w:t>
      </w:r>
      <w:r>
        <w:t xml:space="preserve">4 </w:t>
      </w:r>
      <w:r w:rsidRPr="0014237D">
        <w:t>mesi, ha diritto a complessivi 30 giorni di calendario per recupero psicofisico nell’ambito di 12 mesi continuativi di collaborazione. Tale periodo</w:t>
      </w:r>
      <w:r>
        <w:t xml:space="preserve"> </w:t>
      </w:r>
      <w:r w:rsidRPr="0014237D">
        <w:t>va riparametrato sulla base della durata del rapporto di collaborazione</w:t>
      </w:r>
      <w:r>
        <w:t>.</w:t>
      </w:r>
    </w:p>
    <w:p w:rsidR="00BE2B16" w:rsidRDefault="00BE2B16" w:rsidP="0014237D"/>
    <w:p w:rsidR="00766EB2" w:rsidRPr="000400A0" w:rsidRDefault="00766EB2" w:rsidP="00766EB2">
      <w:pPr>
        <w:pStyle w:val="Paragrafoelenco"/>
        <w:numPr>
          <w:ilvl w:val="0"/>
          <w:numId w:val="1"/>
        </w:numPr>
        <w:rPr>
          <w:b/>
        </w:rPr>
      </w:pPr>
      <w:r w:rsidRPr="000400A0">
        <w:rPr>
          <w:b/>
        </w:rPr>
        <w:t xml:space="preserve">Assicurazione sanitaria  </w:t>
      </w:r>
    </w:p>
    <w:p w:rsidR="000400A0" w:rsidRPr="007608BC" w:rsidRDefault="000400A0" w:rsidP="00760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7608BC">
        <w:rPr>
          <w:b/>
        </w:rPr>
        <w:t xml:space="preserve">Novità: l’OSC garantisce a tutti i collaboratori che svolgono attività in Italia con un contratto di durata pari ad almeno 6 mesi, la copertura di idonea polizza sanitaria integrativa. Se il collaboratore ha attivato autonomamente una polizza sanitaria </w:t>
      </w:r>
      <w:r w:rsidR="007608BC" w:rsidRPr="007608BC">
        <w:rPr>
          <w:b/>
        </w:rPr>
        <w:t>integrativa può</w:t>
      </w:r>
      <w:r w:rsidRPr="007608BC">
        <w:rPr>
          <w:b/>
        </w:rPr>
        <w:t xml:space="preserve"> ottenere un importo un importo una tantum di € 80,00</w:t>
      </w:r>
      <w:r w:rsidR="004D23B2">
        <w:rPr>
          <w:b/>
        </w:rPr>
        <w:t xml:space="preserve"> (previa presentazione documentazione attestante attivazione polizza)</w:t>
      </w:r>
      <w:r w:rsidRPr="007608BC">
        <w:rPr>
          <w:b/>
        </w:rPr>
        <w:t xml:space="preserve">. </w:t>
      </w:r>
    </w:p>
    <w:sectPr w:rsidR="000400A0" w:rsidRPr="007608BC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0D8" w:rsidRDefault="00BB00D8" w:rsidP="00C47567">
      <w:pPr>
        <w:spacing w:after="0" w:line="240" w:lineRule="auto"/>
      </w:pPr>
      <w:r>
        <w:separator/>
      </w:r>
    </w:p>
  </w:endnote>
  <w:endnote w:type="continuationSeparator" w:id="0">
    <w:p w:rsidR="00BB00D8" w:rsidRDefault="00BB00D8" w:rsidP="00C47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5701074"/>
      <w:docPartObj>
        <w:docPartGallery w:val="Page Numbers (Bottom of Page)"/>
        <w:docPartUnique/>
      </w:docPartObj>
    </w:sdtPr>
    <w:sdtEndPr/>
    <w:sdtContent>
      <w:p w:rsidR="00786711" w:rsidRDefault="0078671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996">
          <w:rPr>
            <w:noProof/>
          </w:rPr>
          <w:t>1</w:t>
        </w:r>
        <w:r>
          <w:fldChar w:fldCharType="end"/>
        </w:r>
      </w:p>
    </w:sdtContent>
  </w:sdt>
  <w:p w:rsidR="00786711" w:rsidRDefault="0078671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0D8" w:rsidRDefault="00BB00D8" w:rsidP="00C47567">
      <w:pPr>
        <w:spacing w:after="0" w:line="240" w:lineRule="auto"/>
      </w:pPr>
      <w:r>
        <w:separator/>
      </w:r>
    </w:p>
  </w:footnote>
  <w:footnote w:type="continuationSeparator" w:id="0">
    <w:p w:rsidR="00BB00D8" w:rsidRDefault="00BB00D8" w:rsidP="00C47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567" w:rsidRDefault="00C47567" w:rsidP="00C47567">
    <w:pPr>
      <w:pStyle w:val="Intestazione"/>
      <w:jc w:val="right"/>
    </w:pPr>
    <w:r>
      <w:rPr>
        <w:noProof/>
        <w:lang w:eastAsia="it-IT"/>
      </w:rPr>
      <w:drawing>
        <wp:inline distT="0" distB="0" distL="0" distR="0" wp14:anchorId="4AF6F8FC" wp14:editId="7FBAAC8A">
          <wp:extent cx="762000" cy="373380"/>
          <wp:effectExtent l="0" t="0" r="0" b="7620"/>
          <wp:docPr id="2" name="Immagine 2" descr="cid:image011.jpg@01D2EA95.42D9EA90">
            <a:hlinkClick xmlns:a="http://schemas.openxmlformats.org/drawingml/2006/main" r:id="rId1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 descr="cid:image011.jpg@01D2EA95.42D9EA90">
                    <a:hlinkClick r:id="rId1"/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373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F713BE"/>
    <w:multiLevelType w:val="hybridMultilevel"/>
    <w:tmpl w:val="D3AE363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2A7B35"/>
    <w:multiLevelType w:val="hybridMultilevel"/>
    <w:tmpl w:val="BC942CE8"/>
    <w:lvl w:ilvl="0" w:tplc="619ACC9A">
      <w:start w:val="23"/>
      <w:numFmt w:val="bullet"/>
      <w:lvlText w:val="-"/>
      <w:lvlJc w:val="left"/>
      <w:pPr>
        <w:ind w:left="2136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618D198F"/>
    <w:multiLevelType w:val="hybridMultilevel"/>
    <w:tmpl w:val="7C82FB7E"/>
    <w:lvl w:ilvl="0" w:tplc="04100017">
      <w:start w:val="1"/>
      <w:numFmt w:val="lowerLetter"/>
      <w:lvlText w:val="%1)"/>
      <w:lvlJc w:val="left"/>
      <w:pPr>
        <w:ind w:left="1077" w:hanging="360"/>
      </w:p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65801D1B"/>
    <w:multiLevelType w:val="hybridMultilevel"/>
    <w:tmpl w:val="D0969E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567"/>
    <w:rsid w:val="00021421"/>
    <w:rsid w:val="000400A0"/>
    <w:rsid w:val="00046E18"/>
    <w:rsid w:val="000650DF"/>
    <w:rsid w:val="000867C3"/>
    <w:rsid w:val="000A471F"/>
    <w:rsid w:val="000C51EB"/>
    <w:rsid w:val="000E42A5"/>
    <w:rsid w:val="0014237D"/>
    <w:rsid w:val="00195AC4"/>
    <w:rsid w:val="001A6DB8"/>
    <w:rsid w:val="001C2158"/>
    <w:rsid w:val="00214623"/>
    <w:rsid w:val="0024623E"/>
    <w:rsid w:val="002B523B"/>
    <w:rsid w:val="002F6AD8"/>
    <w:rsid w:val="003172CC"/>
    <w:rsid w:val="00345A98"/>
    <w:rsid w:val="00371651"/>
    <w:rsid w:val="00373996"/>
    <w:rsid w:val="003A3207"/>
    <w:rsid w:val="003A76EE"/>
    <w:rsid w:val="003E2410"/>
    <w:rsid w:val="004D23B2"/>
    <w:rsid w:val="00513157"/>
    <w:rsid w:val="00531059"/>
    <w:rsid w:val="00544C28"/>
    <w:rsid w:val="00555D9C"/>
    <w:rsid w:val="00622122"/>
    <w:rsid w:val="00650B28"/>
    <w:rsid w:val="00672BAA"/>
    <w:rsid w:val="006F5418"/>
    <w:rsid w:val="007314D9"/>
    <w:rsid w:val="007324D4"/>
    <w:rsid w:val="007608BC"/>
    <w:rsid w:val="00766EB2"/>
    <w:rsid w:val="00786711"/>
    <w:rsid w:val="00810907"/>
    <w:rsid w:val="00915A3B"/>
    <w:rsid w:val="00954A0A"/>
    <w:rsid w:val="00996BA2"/>
    <w:rsid w:val="009A37E8"/>
    <w:rsid w:val="009D2F6F"/>
    <w:rsid w:val="009E45FB"/>
    <w:rsid w:val="009E6820"/>
    <w:rsid w:val="009F0850"/>
    <w:rsid w:val="00A65A07"/>
    <w:rsid w:val="00B077D4"/>
    <w:rsid w:val="00B12AA6"/>
    <w:rsid w:val="00B528F1"/>
    <w:rsid w:val="00BB00D8"/>
    <w:rsid w:val="00BE2B16"/>
    <w:rsid w:val="00BE7319"/>
    <w:rsid w:val="00C41361"/>
    <w:rsid w:val="00C47567"/>
    <w:rsid w:val="00C953F9"/>
    <w:rsid w:val="00CC1199"/>
    <w:rsid w:val="00CE4CE5"/>
    <w:rsid w:val="00D23597"/>
    <w:rsid w:val="00D56EBA"/>
    <w:rsid w:val="00DA7191"/>
    <w:rsid w:val="00E20E65"/>
    <w:rsid w:val="00E305C2"/>
    <w:rsid w:val="00E64B77"/>
    <w:rsid w:val="00F62448"/>
    <w:rsid w:val="00FA62BC"/>
    <w:rsid w:val="00FB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F1EBFBA-4674-4952-8B36-F199749FE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C119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47567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47567"/>
    <w:rPr>
      <w:i/>
      <w:iCs/>
      <w:color w:val="4F81BD" w:themeColor="accent1"/>
    </w:rPr>
  </w:style>
  <w:style w:type="paragraph" w:styleId="Intestazione">
    <w:name w:val="header"/>
    <w:basedOn w:val="Normale"/>
    <w:link w:val="IntestazioneCarattere"/>
    <w:uiPriority w:val="99"/>
    <w:unhideWhenUsed/>
    <w:rsid w:val="00C475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567"/>
  </w:style>
  <w:style w:type="paragraph" w:styleId="Pidipagina">
    <w:name w:val="footer"/>
    <w:basedOn w:val="Normale"/>
    <w:link w:val="PidipaginaCarattere"/>
    <w:uiPriority w:val="99"/>
    <w:unhideWhenUsed/>
    <w:rsid w:val="00C475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567"/>
  </w:style>
  <w:style w:type="paragraph" w:styleId="Paragrafoelenco">
    <w:name w:val="List Paragraph"/>
    <w:basedOn w:val="Normale"/>
    <w:uiPriority w:val="34"/>
    <w:qFormat/>
    <w:rsid w:val="00C4756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2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52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hyperlink" Target="http://sternzanin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96E90-291D-4750-ADA6-EA4DA97C1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1357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</dc:creator>
  <cp:keywords/>
  <dc:description/>
  <cp:lastModifiedBy>cinzia</cp:lastModifiedBy>
  <cp:revision>3</cp:revision>
  <cp:lastPrinted>2018-05-11T12:30:00Z</cp:lastPrinted>
  <dcterms:created xsi:type="dcterms:W3CDTF">2018-05-16T14:34:00Z</dcterms:created>
  <dcterms:modified xsi:type="dcterms:W3CDTF">2018-05-16T14:34:00Z</dcterms:modified>
</cp:coreProperties>
</file>